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E7" w:rsidRPr="003679CD" w:rsidRDefault="00073432" w:rsidP="0009271C">
      <w:pPr>
        <w:tabs>
          <w:tab w:val="left" w:pos="1916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79CD">
        <w:rPr>
          <w:rFonts w:ascii="Times New Roman" w:hAnsi="Times New Roman" w:cs="Times New Roman"/>
          <w:sz w:val="24"/>
          <w:szCs w:val="24"/>
          <w:u w:val="single"/>
        </w:rPr>
        <w:t xml:space="preserve">ĐÁP ÁN </w:t>
      </w:r>
      <w:r w:rsidR="00836411" w:rsidRPr="003679CD">
        <w:rPr>
          <w:rFonts w:ascii="Times New Roman" w:hAnsi="Times New Roman" w:cs="Times New Roman"/>
          <w:sz w:val="24"/>
          <w:szCs w:val="24"/>
          <w:u w:val="single"/>
        </w:rPr>
        <w:t>PHẦN LÝ THUYẾT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15"/>
        <w:gridCol w:w="4558"/>
        <w:gridCol w:w="3722"/>
      </w:tblGrid>
      <w:tr w:rsidR="00224CBA" w:rsidRPr="003679CD" w:rsidTr="00073432">
        <w:tc>
          <w:tcPr>
            <w:tcW w:w="1615" w:type="dxa"/>
            <w:vMerge w:val="restart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Câu 1</w:t>
            </w:r>
          </w:p>
          <w:p w:rsidR="00073432" w:rsidRPr="003679CD" w:rsidRDefault="00073432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(1,5 ĐIỂM)</w:t>
            </w: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 Ba loại cổ phiếu ưu đãi mà công ty cổ phần được phép phát hành là: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5BF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Cổ phiếu ưu đãi về cổ tức </w:t>
            </w:r>
            <w:r w:rsidR="00F675BF"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(0,1 điểm)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5BF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Cổ phiếu ưu đãi về quyền biểu quyết </w:t>
            </w:r>
            <w:r w:rsidR="00F675BF"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(0,1 điểm)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5BF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Cổ phiếu ưu đãi về hoàn vốn </w:t>
            </w:r>
            <w:r w:rsidR="00F675BF"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(0,1 điểm)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b. Điểm khác biệt giữa:</w:t>
            </w:r>
          </w:p>
        </w:tc>
      </w:tr>
      <w:tr w:rsidR="00224CBA" w:rsidRPr="003679CD" w:rsidTr="00073432">
        <w:tc>
          <w:tcPr>
            <w:tcW w:w="1615" w:type="dxa"/>
            <w:vMerge/>
            <w:vAlign w:val="center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- Cổ phiếu ưu đãi </w:t>
            </w:r>
            <w:r w:rsidR="00F675BF" w:rsidRPr="003679CD">
              <w:rPr>
                <w:rFonts w:ascii="Times New Roman" w:hAnsi="Times New Roman" w:cs="Times New Roman"/>
                <w:sz w:val="24"/>
                <w:szCs w:val="24"/>
              </w:rPr>
              <w:t>về cổ tức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và cổ phiếu phổ thông:</w:t>
            </w:r>
          </w:p>
          <w:p w:rsidR="00224CBA" w:rsidRPr="003679CD" w:rsidRDefault="00F675BF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+ Không có quyền biểu quyết như cổ phiếu phổ thông </w:t>
            </w:r>
            <w:r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</w:t>
            </w:r>
            <w:r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điểm)</w:t>
            </w:r>
          </w:p>
          <w:p w:rsidR="00224CBA" w:rsidRPr="003679CD" w:rsidRDefault="00F675BF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+ Nhận cổ tức ổn định hơn cổ phiếu phổ thông </w:t>
            </w:r>
            <w:r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 điểm)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- Cổ phiếu ưu đãi </w:t>
            </w:r>
            <w:r w:rsidR="00F675BF" w:rsidRPr="003679CD">
              <w:rPr>
                <w:rFonts w:ascii="Times New Roman" w:hAnsi="Times New Roman" w:cs="Times New Roman"/>
                <w:sz w:val="24"/>
                <w:szCs w:val="24"/>
              </w:rPr>
              <w:t>về quyền biểu quyết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và cổ phiếu phổ thông:</w:t>
            </w:r>
          </w:p>
          <w:p w:rsidR="00F675BF" w:rsidRPr="003679CD" w:rsidRDefault="00F675BF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+ Có quyền biểu quyết cao hơn cổ phiếu phổ thông </w:t>
            </w:r>
            <w:r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 điểm)</w:t>
            </w:r>
          </w:p>
          <w:p w:rsidR="001228B4" w:rsidRPr="003679CD" w:rsidRDefault="00F675BF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+ Không được nhận cổ tức như cổ phiếu phổ thông </w:t>
            </w:r>
            <w:r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 điểm)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- Cổ phiếu ưu đãi </w:t>
            </w:r>
            <w:r w:rsidR="00F675BF" w:rsidRPr="003679CD">
              <w:rPr>
                <w:rFonts w:ascii="Times New Roman" w:hAnsi="Times New Roman" w:cs="Times New Roman"/>
                <w:sz w:val="24"/>
                <w:szCs w:val="24"/>
              </w:rPr>
              <w:t>hoàn vốn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và cổ phiếu phổ thông:</w:t>
            </w:r>
          </w:p>
          <w:p w:rsidR="00F675BF" w:rsidRPr="003679CD" w:rsidRDefault="00F675BF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Không có quyền biểu quyết như cổ phiếu phổ thông </w:t>
            </w:r>
            <w:r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 điểm)</w:t>
            </w:r>
          </w:p>
          <w:p w:rsidR="00224CBA" w:rsidRPr="003679CD" w:rsidRDefault="00F675BF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679CD">
              <w:rPr>
                <w:rFonts w:ascii="Times New Roman" w:hAnsi="Times New Roman" w:cs="Times New Roman"/>
                <w:i/>
                <w:sz w:val="24"/>
                <w:szCs w:val="24"/>
              </w:rPr>
              <w:t>(Hoặc)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Không được n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hận cổ tức 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phổ thông </w:t>
            </w:r>
            <w:r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 điểm)</w:t>
            </w:r>
          </w:p>
          <w:p w:rsidR="00F675BF" w:rsidRPr="003679CD" w:rsidRDefault="00F675BF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679CD">
              <w:rPr>
                <w:rFonts w:ascii="Times New Roman" w:hAnsi="Times New Roman" w:cs="Times New Roman"/>
                <w:i/>
                <w:sz w:val="24"/>
                <w:szCs w:val="24"/>
              </w:rPr>
              <w:t>(Hoặc)</w:t>
            </w:r>
            <w:r w:rsidRPr="00367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Được phép hoàn vốn, còn CP phổ thông thì không được hoàn vố</w:t>
            </w:r>
            <w:r w:rsidR="00852121" w:rsidRPr="003679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224CBA" w:rsidRPr="003679CD" w:rsidTr="00073432">
        <w:tc>
          <w:tcPr>
            <w:tcW w:w="1615" w:type="dxa"/>
            <w:vMerge w:val="restart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Câu 2</w:t>
            </w: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Điều kiện để một khoản chi phí được trừ khi tính thu nhập chịu thuế là: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073432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121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Chi phí phải có hóa đơn, chứng từ hợp pháp</w:t>
            </w:r>
            <w:r w:rsidR="00073432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432"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 w:rsidR="00073432"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073432"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điểm)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121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Chi phí phải liên quan đến hoạt động sản xuất, kinh doanh của đơn vị</w:t>
            </w:r>
            <w:r w:rsidR="00073432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432"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(0,5 điểm)</w:t>
            </w:r>
          </w:p>
        </w:tc>
      </w:tr>
      <w:tr w:rsidR="00224CBA" w:rsidRPr="003679CD" w:rsidTr="00073432">
        <w:tc>
          <w:tcPr>
            <w:tcW w:w="1615" w:type="dxa"/>
            <w:vMerge/>
            <w:vAlign w:val="center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121" w:rsidRPr="003679CD">
              <w:rPr>
                <w:rFonts w:ascii="Times New Roman" w:hAnsi="Times New Roman" w:cs="Times New Roman"/>
                <w:sz w:val="24"/>
                <w:szCs w:val="24"/>
              </w:rPr>
              <w:t>Các khoản chi trên 20trđ phải có chứng từ thanh toán qua ngân hàng</w:t>
            </w:r>
            <w:r w:rsidR="00073432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432" w:rsidRP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(0,5 điểm)</w:t>
            </w:r>
          </w:p>
        </w:tc>
      </w:tr>
      <w:tr w:rsidR="00224CBA" w:rsidRPr="003679CD" w:rsidTr="00073432">
        <w:tc>
          <w:tcPr>
            <w:tcW w:w="1615" w:type="dxa"/>
            <w:vMerge w:val="restart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Câu 3</w:t>
            </w: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 Công ty ABC: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3679CD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 Bút toán sai sót:</w:t>
            </w:r>
            <w:r w:rsidR="00267CC1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NỢ</w:t>
            </w:r>
            <w:r w:rsidR="008529FB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635/CÓ 335      20TRĐ 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điểm)</w:t>
            </w:r>
            <w:r w:rsidR="008529FB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 Ảnh hưởng đến BCTC:</w:t>
            </w:r>
          </w:p>
        </w:tc>
      </w:tr>
      <w:tr w:rsidR="00224CBA" w:rsidRPr="003679CD" w:rsidTr="00073432">
        <w:tc>
          <w:tcPr>
            <w:tcW w:w="1615" w:type="dxa"/>
            <w:vMerge/>
            <w:vAlign w:val="center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i/>
                <w:sz w:val="24"/>
                <w:szCs w:val="24"/>
              </w:rPr>
              <w:t>Báo cáo kết quả kinh doanh</w:t>
            </w:r>
            <w:r w:rsidR="00367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điểm)</w:t>
            </w:r>
          </w:p>
        </w:tc>
        <w:tc>
          <w:tcPr>
            <w:tcW w:w="3722" w:type="dxa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i/>
                <w:sz w:val="24"/>
                <w:szCs w:val="24"/>
              </w:rPr>
              <w:t>Bảng cân đối kế toán</w:t>
            </w:r>
            <w:r w:rsidR="00367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điểm)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224CBA" w:rsidRPr="003679CD" w:rsidRDefault="008529FB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CPTC (-) 20trđ</w:t>
            </w:r>
          </w:p>
          <w:p w:rsidR="008529FB" w:rsidRPr="003679CD" w:rsidRDefault="008529FB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LNTT (+) 20trđ</w:t>
            </w:r>
          </w:p>
          <w:p w:rsidR="00224CBA" w:rsidRPr="003679CD" w:rsidRDefault="008529FB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CP thuế TNDN hiện hành (+) 4trđ</w:t>
            </w:r>
          </w:p>
          <w:p w:rsidR="008529FB" w:rsidRPr="003679CD" w:rsidRDefault="008529FB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LNST</w:t>
            </w:r>
            <w:r w:rsidR="00073432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TNDN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(+) 16trđ</w:t>
            </w:r>
          </w:p>
        </w:tc>
        <w:tc>
          <w:tcPr>
            <w:tcW w:w="3722" w:type="dxa"/>
            <w:vAlign w:val="center"/>
          </w:tcPr>
          <w:p w:rsidR="00224CBA" w:rsidRPr="003679CD" w:rsidRDefault="008529FB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CP phải trả (-) 20trđ</w:t>
            </w:r>
          </w:p>
          <w:p w:rsidR="008529FB" w:rsidRPr="003679CD" w:rsidRDefault="008529FB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Thuế </w:t>
            </w:r>
            <w:r w:rsidR="00827E55" w:rsidRPr="003679CD">
              <w:rPr>
                <w:rFonts w:ascii="Times New Roman" w:hAnsi="Times New Roman" w:cs="Times New Roman"/>
                <w:sz w:val="24"/>
                <w:szCs w:val="24"/>
              </w:rPr>
              <w:t>TNDN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phải nộp (+) 4trđ</w:t>
            </w:r>
          </w:p>
          <w:p w:rsidR="008529FB" w:rsidRPr="003679CD" w:rsidRDefault="008529FB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LNST CPP (+) 16trđ</w:t>
            </w:r>
          </w:p>
        </w:tc>
      </w:tr>
      <w:tr w:rsidR="00224CBA" w:rsidRPr="003679CD" w:rsidTr="00073432">
        <w:tc>
          <w:tcPr>
            <w:tcW w:w="1615" w:type="dxa"/>
            <w:vMerge/>
            <w:vAlign w:val="center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b. Công ty XYZ: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 Bút toán sai sót:</w:t>
            </w:r>
            <w:r w:rsidR="00ED276A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NỢ 3387/CÓ 511        50trđ</w:t>
            </w:r>
            <w:r w:rsidR="0036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(0,125 điểm)</w:t>
            </w:r>
          </w:p>
        </w:tc>
      </w:tr>
      <w:tr w:rsidR="00224CBA" w:rsidRPr="003679CD" w:rsidTr="00073432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2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 Ảnh hưởng đến BCTC:</w:t>
            </w:r>
          </w:p>
        </w:tc>
      </w:tr>
      <w:tr w:rsidR="00224CBA" w:rsidRPr="003679CD" w:rsidTr="00073432">
        <w:tc>
          <w:tcPr>
            <w:tcW w:w="1615" w:type="dxa"/>
            <w:vMerge/>
            <w:vAlign w:val="center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i/>
                <w:sz w:val="24"/>
                <w:szCs w:val="24"/>
              </w:rPr>
              <w:t>Báo cáo kết quả kinh doanh</w:t>
            </w:r>
            <w:r w:rsidR="00367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(0,5 điểm)</w:t>
            </w:r>
          </w:p>
        </w:tc>
        <w:tc>
          <w:tcPr>
            <w:tcW w:w="3722" w:type="dxa"/>
          </w:tcPr>
          <w:p w:rsidR="00224CBA" w:rsidRPr="003679CD" w:rsidRDefault="00224CBA" w:rsidP="003679CD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i/>
                <w:sz w:val="24"/>
                <w:szCs w:val="24"/>
              </w:rPr>
              <w:t>Bảng cân đối kế toán</w:t>
            </w:r>
            <w:r w:rsidR="00367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  <w:r w:rsidR="003679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điểm)</w:t>
            </w:r>
          </w:p>
        </w:tc>
      </w:tr>
      <w:tr w:rsidR="00224CBA" w:rsidRPr="003679CD" w:rsidTr="003679CD">
        <w:tc>
          <w:tcPr>
            <w:tcW w:w="1615" w:type="dxa"/>
            <w:vMerge/>
          </w:tcPr>
          <w:p w:rsidR="00224CBA" w:rsidRPr="003679CD" w:rsidRDefault="00224CBA" w:rsidP="00836411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vAlign w:val="center"/>
          </w:tcPr>
          <w:p w:rsidR="00224CBA" w:rsidRPr="003679CD" w:rsidRDefault="00ED276A" w:rsidP="003679CD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DT BH&amp;CCDV (-) 50trđ</w:t>
            </w:r>
          </w:p>
          <w:p w:rsidR="00ED276A" w:rsidRPr="003679CD" w:rsidRDefault="00ED276A" w:rsidP="003679CD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LNTT (-) 50trđ</w:t>
            </w:r>
          </w:p>
          <w:p w:rsidR="00ED276A" w:rsidRPr="003679CD" w:rsidRDefault="00ED276A" w:rsidP="003679CD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CP thuế TNDN hiện hành (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trđ</w:t>
            </w:r>
          </w:p>
          <w:p w:rsidR="00224CBA" w:rsidRPr="003679CD" w:rsidRDefault="00ED276A" w:rsidP="003679CD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LNST</w:t>
            </w:r>
            <w:r w:rsidR="003679CD"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TNDN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-) 40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trđ</w:t>
            </w:r>
          </w:p>
        </w:tc>
        <w:tc>
          <w:tcPr>
            <w:tcW w:w="3722" w:type="dxa"/>
            <w:vAlign w:val="center"/>
          </w:tcPr>
          <w:p w:rsidR="00655B34" w:rsidRPr="003679CD" w:rsidRDefault="00655B34" w:rsidP="003679CD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DT chưa thực hiện (+) 5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0trđ</w:t>
            </w:r>
          </w:p>
          <w:p w:rsidR="00655B34" w:rsidRPr="003679CD" w:rsidRDefault="00655B34" w:rsidP="003679CD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Thuế </w:t>
            </w:r>
            <w:r w:rsidR="003679CD" w:rsidRPr="003679CD">
              <w:rPr>
                <w:rFonts w:ascii="Times New Roman" w:hAnsi="Times New Roman" w:cs="Times New Roman"/>
                <w:sz w:val="24"/>
                <w:szCs w:val="24"/>
              </w:rPr>
              <w:t>TNDN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phải nộp (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-) 10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trđ</w:t>
            </w:r>
          </w:p>
          <w:p w:rsidR="00224CBA" w:rsidRPr="003679CD" w:rsidRDefault="00655B34" w:rsidP="003679CD">
            <w:pPr>
              <w:tabs>
                <w:tab w:val="left" w:pos="191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LNST CPP (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trđ</w:t>
            </w:r>
          </w:p>
        </w:tc>
      </w:tr>
    </w:tbl>
    <w:p w:rsidR="0009271C" w:rsidRPr="003679CD" w:rsidRDefault="0009271C" w:rsidP="0009271C">
      <w:pPr>
        <w:tabs>
          <w:tab w:val="left" w:pos="1916"/>
        </w:tabs>
        <w:rPr>
          <w:rFonts w:ascii="Times New Roman" w:hAnsi="Times New Roman" w:cs="Times New Roman"/>
          <w:sz w:val="24"/>
          <w:szCs w:val="24"/>
        </w:rPr>
      </w:pPr>
    </w:p>
    <w:p w:rsidR="003679CD" w:rsidRPr="003679CD" w:rsidRDefault="003679CD">
      <w:pPr>
        <w:rPr>
          <w:rFonts w:ascii="Times New Roman" w:hAnsi="Times New Roman" w:cs="Times New Roman"/>
          <w:sz w:val="24"/>
          <w:szCs w:val="24"/>
        </w:rPr>
      </w:pPr>
    </w:p>
    <w:p w:rsidR="003679CD" w:rsidRPr="003679CD" w:rsidRDefault="003679CD">
      <w:pPr>
        <w:rPr>
          <w:rFonts w:ascii="Times New Roman" w:hAnsi="Times New Roman" w:cs="Times New Roman"/>
          <w:sz w:val="24"/>
          <w:szCs w:val="24"/>
        </w:rPr>
      </w:pPr>
    </w:p>
    <w:p w:rsidR="003679CD" w:rsidRPr="003679CD" w:rsidRDefault="003679CD">
      <w:pPr>
        <w:rPr>
          <w:rFonts w:ascii="Times New Roman" w:hAnsi="Times New Roman" w:cs="Times New Roman"/>
          <w:sz w:val="24"/>
          <w:szCs w:val="24"/>
        </w:rPr>
      </w:pPr>
    </w:p>
    <w:p w:rsidR="003679CD" w:rsidRPr="003679CD" w:rsidRDefault="003679CD">
      <w:pPr>
        <w:rPr>
          <w:rFonts w:ascii="Times New Roman" w:hAnsi="Times New Roman" w:cs="Times New Roman"/>
          <w:sz w:val="24"/>
          <w:szCs w:val="24"/>
        </w:rPr>
      </w:pPr>
    </w:p>
    <w:p w:rsidR="003679CD" w:rsidRPr="003679CD" w:rsidRDefault="003679CD">
      <w:pPr>
        <w:rPr>
          <w:rFonts w:ascii="Times New Roman" w:hAnsi="Times New Roman" w:cs="Times New Roman"/>
          <w:sz w:val="24"/>
          <w:szCs w:val="24"/>
        </w:rPr>
      </w:pPr>
    </w:p>
    <w:p w:rsidR="003679CD" w:rsidRPr="006E6382" w:rsidRDefault="003679CD" w:rsidP="006E6382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E6382">
        <w:rPr>
          <w:rFonts w:ascii="Times New Roman" w:hAnsi="Times New Roman" w:cs="Times New Roman"/>
          <w:sz w:val="30"/>
          <w:szCs w:val="30"/>
          <w:u w:val="single"/>
        </w:rPr>
        <w:t>PHẦN BÀI TẬP</w:t>
      </w:r>
    </w:p>
    <w:p w:rsidR="006E6382" w:rsidRPr="006E6382" w:rsidRDefault="003679CD">
      <w:pPr>
        <w:rPr>
          <w:rFonts w:ascii="Times New Roman" w:hAnsi="Times New Roman" w:cs="Times New Roman"/>
          <w:b/>
          <w:sz w:val="24"/>
          <w:szCs w:val="24"/>
        </w:rPr>
      </w:pPr>
      <w:r w:rsidRPr="006E6382">
        <w:rPr>
          <w:rFonts w:ascii="Times New Roman" w:hAnsi="Times New Roman" w:cs="Times New Roman"/>
          <w:b/>
          <w:sz w:val="24"/>
          <w:szCs w:val="24"/>
        </w:rPr>
        <w:t>BÀI 1:</w:t>
      </w:r>
    </w:p>
    <w:tbl>
      <w:tblPr>
        <w:tblStyle w:val="TableGrid"/>
        <w:tblpPr w:leftFromText="180" w:rightFromText="180" w:vertAnchor="page" w:horzAnchor="margin" w:tblpY="4441"/>
        <w:tblW w:w="0" w:type="auto"/>
        <w:tblLook w:val="04A0" w:firstRow="1" w:lastRow="0" w:firstColumn="1" w:lastColumn="0" w:noHBand="0" w:noVBand="1"/>
      </w:tblPr>
      <w:tblGrid>
        <w:gridCol w:w="5324"/>
        <w:gridCol w:w="4661"/>
      </w:tblGrid>
      <w:tr w:rsidR="006E6382" w:rsidRPr="003679CD" w:rsidTr="006E6382">
        <w:tc>
          <w:tcPr>
            <w:tcW w:w="5324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Năm 2016</w:t>
            </w:r>
          </w:p>
        </w:tc>
        <w:tc>
          <w:tcPr>
            <w:tcW w:w="4661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Năm 2017</w:t>
            </w:r>
          </w:p>
        </w:tc>
      </w:tr>
      <w:tr w:rsidR="006E6382" w:rsidRPr="003679CD" w:rsidTr="006E6382">
        <w:tc>
          <w:tcPr>
            <w:tcW w:w="5324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Tập hợp chi phí sản xuất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NỢ TK 154           5.100trđ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CÓ TK 621             3.500trđ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CÓ TK 622                700trđ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CÓ TK 623                600trđ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CÓ TK 627               300trđ</w:t>
            </w:r>
          </w:p>
        </w:tc>
        <w:tc>
          <w:tcPr>
            <w:tcW w:w="4661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NỢ TK 154           2.600trđ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CÓ TK 621             1.600trđ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CÓ TK 622                500trđ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CÓ TK 623                300trđ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CÓ TK 627               200trđ</w:t>
            </w:r>
          </w:p>
        </w:tc>
      </w:tr>
      <w:tr w:rsidR="006E6382" w:rsidRPr="003679CD" w:rsidTr="006E6382">
        <w:tc>
          <w:tcPr>
            <w:tcW w:w="5324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Tính giá thành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Z = 0 + 5.100trđ - 400trđ = 4.700trđ</w:t>
            </w:r>
          </w:p>
        </w:tc>
        <w:tc>
          <w:tcPr>
            <w:tcW w:w="4661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Z = 400trđ + 2.600trđ = 3.000trđ</w:t>
            </w:r>
          </w:p>
        </w:tc>
      </w:tr>
      <w:tr w:rsidR="006E6382" w:rsidRPr="003679CD" w:rsidTr="006E6382">
        <w:tc>
          <w:tcPr>
            <w:tcW w:w="5324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Ngày 25/12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(0,5 điểm)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NỢ TK 131          5.500trđ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        CÓ TK 337            5.000trđ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        CÓ TK 3331             500trđ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NỢ TK 632/CÓ TK 154       4.700trđ</w:t>
            </w:r>
          </w:p>
        </w:tc>
        <w:tc>
          <w:tcPr>
            <w:tcW w:w="4661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(0,5 điểm)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NỢ TK 131          5.500trđ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        CÓ TK 337            5.000trđ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 xml:space="preserve">             CÓ TK 3331             500trđ</w:t>
            </w:r>
          </w:p>
          <w:p w:rsidR="006E6382" w:rsidRPr="003679CD" w:rsidRDefault="006E6382" w:rsidP="006E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sz w:val="24"/>
                <w:szCs w:val="24"/>
              </w:rPr>
              <w:t>NỢ TK 632/CÓ TK 154       3.000trđ</w:t>
            </w:r>
          </w:p>
        </w:tc>
      </w:tr>
      <w:tr w:rsidR="006E6382" w:rsidRPr="003679CD" w:rsidTr="006E6382">
        <w:tc>
          <w:tcPr>
            <w:tcW w:w="5324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Ngày 28/12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  <w:p w:rsidR="006E6382" w:rsidRPr="006E6382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NỢ TK 112/CÓ TK 131           5.500trđ</w:t>
            </w:r>
          </w:p>
        </w:tc>
        <w:tc>
          <w:tcPr>
            <w:tcW w:w="4661" w:type="dxa"/>
          </w:tcPr>
          <w:p w:rsidR="006E6382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  <w:p w:rsidR="006E6382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NỢ TK 112          5.225trđ</w:t>
            </w:r>
          </w:p>
          <w:p w:rsidR="006E6382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NỢ TK 244             275trđ</w:t>
            </w:r>
          </w:p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CÓ TK 131         5.500trđ</w:t>
            </w:r>
          </w:p>
        </w:tc>
      </w:tr>
      <w:tr w:rsidR="006E6382" w:rsidRPr="003679CD" w:rsidTr="006E6382">
        <w:tc>
          <w:tcPr>
            <w:tcW w:w="5324" w:type="dxa"/>
          </w:tcPr>
          <w:p w:rsidR="006E6382" w:rsidRPr="003679CD" w:rsidRDefault="006E6382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Ngày 31/12</w:t>
            </w:r>
            <w:r w:rsidR="006A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A16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  <w:p w:rsidR="006E6382" w:rsidRPr="00700A20" w:rsidRDefault="006A16EA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NỢ TK 337/CÓ TK 511              6.000trđ</w:t>
            </w:r>
          </w:p>
        </w:tc>
        <w:tc>
          <w:tcPr>
            <w:tcW w:w="4661" w:type="dxa"/>
          </w:tcPr>
          <w:p w:rsidR="006A16EA" w:rsidRDefault="006A16EA" w:rsidP="006E6382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  <w:p w:rsidR="006E6382" w:rsidRPr="006A16EA" w:rsidRDefault="006A16EA" w:rsidP="00700A20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NỢ TK 337/CÓ TK 511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.000trđ</w:t>
            </w:r>
          </w:p>
        </w:tc>
      </w:tr>
    </w:tbl>
    <w:p w:rsidR="00836411" w:rsidRPr="003679CD" w:rsidRDefault="00836411">
      <w:pPr>
        <w:rPr>
          <w:rFonts w:ascii="Times New Roman" w:hAnsi="Times New Roman" w:cs="Times New Roman"/>
          <w:sz w:val="24"/>
          <w:szCs w:val="24"/>
        </w:rPr>
      </w:pPr>
    </w:p>
    <w:p w:rsidR="00836411" w:rsidRPr="003679CD" w:rsidRDefault="00836411" w:rsidP="0009271C">
      <w:pPr>
        <w:tabs>
          <w:tab w:val="left" w:pos="1916"/>
        </w:tabs>
        <w:rPr>
          <w:rFonts w:ascii="Times New Roman" w:hAnsi="Times New Roman" w:cs="Times New Roman"/>
          <w:sz w:val="24"/>
          <w:szCs w:val="24"/>
        </w:rPr>
      </w:pPr>
    </w:p>
    <w:p w:rsidR="00836411" w:rsidRPr="003679CD" w:rsidRDefault="00836411" w:rsidP="00836411">
      <w:pPr>
        <w:rPr>
          <w:rFonts w:ascii="Times New Roman" w:hAnsi="Times New Roman" w:cs="Times New Roman"/>
          <w:sz w:val="24"/>
          <w:szCs w:val="24"/>
        </w:rPr>
      </w:pPr>
    </w:p>
    <w:p w:rsidR="00836411" w:rsidRPr="003679CD" w:rsidRDefault="00836411" w:rsidP="00836411">
      <w:pPr>
        <w:rPr>
          <w:rFonts w:ascii="Times New Roman" w:hAnsi="Times New Roman" w:cs="Times New Roman"/>
          <w:sz w:val="24"/>
          <w:szCs w:val="24"/>
        </w:rPr>
      </w:pPr>
    </w:p>
    <w:p w:rsidR="00836411" w:rsidRPr="003679CD" w:rsidRDefault="00836411" w:rsidP="00836411">
      <w:pPr>
        <w:rPr>
          <w:rFonts w:ascii="Times New Roman" w:hAnsi="Times New Roman" w:cs="Times New Roman"/>
          <w:sz w:val="24"/>
          <w:szCs w:val="24"/>
        </w:rPr>
      </w:pPr>
    </w:p>
    <w:p w:rsidR="00836411" w:rsidRPr="003679CD" w:rsidRDefault="00836411" w:rsidP="00836411">
      <w:pPr>
        <w:rPr>
          <w:rFonts w:ascii="Times New Roman" w:hAnsi="Times New Roman" w:cs="Times New Roman"/>
          <w:sz w:val="24"/>
          <w:szCs w:val="24"/>
        </w:rPr>
      </w:pPr>
    </w:p>
    <w:p w:rsidR="00B77A41" w:rsidRPr="003679CD" w:rsidRDefault="00B77A41" w:rsidP="0009271C">
      <w:pPr>
        <w:tabs>
          <w:tab w:val="left" w:pos="1916"/>
        </w:tabs>
        <w:rPr>
          <w:rFonts w:ascii="Times New Roman" w:hAnsi="Times New Roman" w:cs="Times New Roman"/>
          <w:sz w:val="24"/>
          <w:szCs w:val="24"/>
        </w:rPr>
      </w:pPr>
      <w:r w:rsidRPr="003679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BÀI 2</w:t>
      </w:r>
      <w:r w:rsidRPr="003679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655"/>
      </w:tblGrid>
      <w:tr w:rsidR="00910CF6" w:rsidRPr="003679CD" w:rsidTr="00194D73">
        <w:tc>
          <w:tcPr>
            <w:tcW w:w="5305" w:type="dxa"/>
          </w:tcPr>
          <w:p w:rsidR="00910CF6" w:rsidRPr="003679CD" w:rsidRDefault="00910CF6" w:rsidP="00E32CEF">
            <w:pPr>
              <w:tabs>
                <w:tab w:val="left" w:pos="19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BẢNG TÍNH CP THUẾ TNDN</w:t>
            </w:r>
            <w:r w:rsidR="00E32CEF"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HIỆN HÀNH</w:t>
            </w:r>
          </w:p>
        </w:tc>
        <w:tc>
          <w:tcPr>
            <w:tcW w:w="4655" w:type="dxa"/>
          </w:tcPr>
          <w:p w:rsidR="00910CF6" w:rsidRPr="003679CD" w:rsidRDefault="00910CF6" w:rsidP="00D76F96">
            <w:pPr>
              <w:tabs>
                <w:tab w:val="left" w:pos="19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ĐỊNH KHOẢN</w:t>
            </w:r>
          </w:p>
        </w:tc>
      </w:tr>
      <w:tr w:rsidR="00D76F96" w:rsidRPr="003679CD" w:rsidTr="00194D73">
        <w:tc>
          <w:tcPr>
            <w:tcW w:w="5305" w:type="dxa"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B52A7">
              <w:rPr>
                <w:rFonts w:ascii="Times New Roman" w:hAnsi="Times New Roman" w:cs="Times New Roman"/>
                <w:b/>
                <w:sz w:val="24"/>
                <w:szCs w:val="24"/>
              </w:rPr>
              <w:t>Lợi nhuận kế toán trước thuế: 9.000trđ</w:t>
            </w:r>
          </w:p>
        </w:tc>
        <w:tc>
          <w:tcPr>
            <w:tcW w:w="4655" w:type="dxa"/>
            <w:vMerge w:val="restart"/>
          </w:tcPr>
          <w:p w:rsidR="00D76F96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1. Chi phí thuế TNDN hiện hành</w:t>
            </w:r>
          </w:p>
          <w:p w:rsidR="00C565C6" w:rsidRPr="003679CD" w:rsidRDefault="00C565C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NỢ TK 8211/CÓ TK 3334         1.830trđ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</w:tr>
      <w:tr w:rsidR="00D76F96" w:rsidRPr="003679CD" w:rsidTr="00194D73">
        <w:tc>
          <w:tcPr>
            <w:tcW w:w="5305" w:type="dxa"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B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Điều chỉnh tăng: 210trđ</w:t>
            </w:r>
          </w:p>
        </w:tc>
        <w:tc>
          <w:tcPr>
            <w:tcW w:w="4655" w:type="dxa"/>
            <w:vMerge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96" w:rsidRPr="003679CD" w:rsidTr="00194D73">
        <w:tc>
          <w:tcPr>
            <w:tcW w:w="5305" w:type="dxa"/>
          </w:tcPr>
          <w:p w:rsidR="00D76F96" w:rsidRPr="00A353D9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2A7" w:rsidRPr="00A353D9">
              <w:rPr>
                <w:rFonts w:ascii="Times New Roman" w:hAnsi="Times New Roman" w:cs="Times New Roman"/>
                <w:sz w:val="24"/>
                <w:szCs w:val="24"/>
              </w:rPr>
              <w:t xml:space="preserve"> CP không có hóa đơn: 200trđ </w:t>
            </w:r>
            <w:r w:rsidR="007B52A7" w:rsidRPr="00A353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  <w:tc>
          <w:tcPr>
            <w:tcW w:w="4655" w:type="dxa"/>
            <w:vMerge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96" w:rsidRPr="003679CD" w:rsidTr="00194D73">
        <w:tc>
          <w:tcPr>
            <w:tcW w:w="5305" w:type="dxa"/>
          </w:tcPr>
          <w:p w:rsidR="00D76F96" w:rsidRPr="00A353D9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2A7" w:rsidRPr="00A353D9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565C6" w:rsidRPr="00A353D9">
              <w:rPr>
                <w:rFonts w:ascii="Times New Roman" w:hAnsi="Times New Roman" w:cs="Times New Roman"/>
                <w:sz w:val="24"/>
                <w:szCs w:val="24"/>
              </w:rPr>
              <w:t xml:space="preserve">hi phạt vi phạm hành chính: 10trđ </w:t>
            </w:r>
            <w:r w:rsidR="00C565C6" w:rsidRPr="00A353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  <w:tc>
          <w:tcPr>
            <w:tcW w:w="4655" w:type="dxa"/>
            <w:vMerge w:val="restart"/>
          </w:tcPr>
          <w:p w:rsidR="00D76F96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2. Chi phí thuế TNDN hoãn lại</w:t>
            </w:r>
          </w:p>
          <w:p w:rsidR="00C565C6" w:rsidRPr="003679CD" w:rsidRDefault="00C565C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NỢ TK 8212/CÓ TK 347               4trđ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</w:tr>
      <w:tr w:rsidR="00D76F96" w:rsidRPr="003679CD" w:rsidTr="00194D73">
        <w:tc>
          <w:tcPr>
            <w:tcW w:w="5305" w:type="dxa"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5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Điều chỉnh giảm: 35trđ</w:t>
            </w:r>
          </w:p>
        </w:tc>
        <w:tc>
          <w:tcPr>
            <w:tcW w:w="4655" w:type="dxa"/>
            <w:vMerge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96" w:rsidRPr="003679CD" w:rsidTr="00194D73">
        <w:tc>
          <w:tcPr>
            <w:tcW w:w="5305" w:type="dxa"/>
          </w:tcPr>
          <w:p w:rsidR="00D76F96" w:rsidRPr="00A353D9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5C6" w:rsidRPr="00A353D9">
              <w:rPr>
                <w:rFonts w:ascii="Times New Roman" w:hAnsi="Times New Roman" w:cs="Times New Roman"/>
                <w:sz w:val="24"/>
                <w:szCs w:val="24"/>
              </w:rPr>
              <w:t xml:space="preserve"> Lãi CLTG do ĐGL: 15trđ </w:t>
            </w:r>
            <w:r w:rsidR="00C565C6" w:rsidRPr="00A353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  <w:tc>
          <w:tcPr>
            <w:tcW w:w="4655" w:type="dxa"/>
            <w:vMerge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96" w:rsidRPr="003679CD" w:rsidTr="00194D73">
        <w:tc>
          <w:tcPr>
            <w:tcW w:w="5305" w:type="dxa"/>
          </w:tcPr>
          <w:p w:rsidR="00D76F96" w:rsidRPr="00A353D9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5C6" w:rsidRPr="00A353D9">
              <w:rPr>
                <w:rFonts w:ascii="Times New Roman" w:hAnsi="Times New Roman" w:cs="Times New Roman"/>
                <w:sz w:val="24"/>
                <w:szCs w:val="24"/>
              </w:rPr>
              <w:t xml:space="preserve"> CP khấu hao: 20trđ </w:t>
            </w:r>
            <w:r w:rsidR="00C565C6" w:rsidRPr="00A353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  <w:tc>
          <w:tcPr>
            <w:tcW w:w="4655" w:type="dxa"/>
            <w:vMerge w:val="restart"/>
          </w:tcPr>
          <w:p w:rsidR="00D76F96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3. Lợi nhuận sau thuế TNDN</w:t>
            </w:r>
          </w:p>
          <w:p w:rsidR="00C565C6" w:rsidRDefault="00C565C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NỢ TK 911             9.000trđ</w:t>
            </w:r>
          </w:p>
          <w:p w:rsidR="00C565C6" w:rsidRDefault="00C565C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CÓ TK 821              1.834trđ</w:t>
            </w:r>
            <w:bookmarkStart w:id="0" w:name="_GoBack"/>
            <w:bookmarkEnd w:id="0"/>
          </w:p>
          <w:p w:rsidR="00C565C6" w:rsidRDefault="00C565C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CÓ TK 421              7.166trđ</w:t>
            </w:r>
          </w:p>
          <w:p w:rsidR="00C565C6" w:rsidRPr="003679CD" w:rsidRDefault="00C565C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</w:tr>
      <w:tr w:rsidR="00D76F96" w:rsidRPr="003679CD" w:rsidTr="00194D73">
        <w:tc>
          <w:tcPr>
            <w:tcW w:w="5305" w:type="dxa"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5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TNCT: 9.175trđ </w:t>
            </w:r>
            <w:r w:rsidR="00C565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  <w:tc>
          <w:tcPr>
            <w:tcW w:w="4655" w:type="dxa"/>
            <w:vMerge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96" w:rsidRPr="003679CD" w:rsidTr="00194D73">
        <w:tc>
          <w:tcPr>
            <w:tcW w:w="5305" w:type="dxa"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C5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TN được miễn: 25trđ </w:t>
            </w:r>
            <w:r w:rsidR="00C565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  <w:tc>
          <w:tcPr>
            <w:tcW w:w="4655" w:type="dxa"/>
            <w:vMerge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96" w:rsidRPr="003679CD" w:rsidTr="00194D73">
        <w:tc>
          <w:tcPr>
            <w:tcW w:w="5305" w:type="dxa"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5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TN tính thuế: 9.150trđ </w:t>
            </w:r>
            <w:r w:rsidR="00C565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 điểm)</w:t>
            </w:r>
          </w:p>
        </w:tc>
        <w:tc>
          <w:tcPr>
            <w:tcW w:w="4655" w:type="dxa"/>
            <w:vMerge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96" w:rsidRPr="003679CD" w:rsidTr="00194D73">
        <w:tc>
          <w:tcPr>
            <w:tcW w:w="5305" w:type="dxa"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9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5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CP thuế TNDN hiện hành: 1.830trđ</w:t>
            </w:r>
          </w:p>
        </w:tc>
        <w:tc>
          <w:tcPr>
            <w:tcW w:w="4655" w:type="dxa"/>
            <w:vMerge/>
          </w:tcPr>
          <w:p w:rsidR="00D76F96" w:rsidRPr="003679CD" w:rsidRDefault="00D76F96" w:rsidP="00910CF6">
            <w:pPr>
              <w:tabs>
                <w:tab w:val="left" w:pos="191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411" w:rsidRPr="003679CD" w:rsidRDefault="00C474DD" w:rsidP="0009271C">
      <w:pPr>
        <w:tabs>
          <w:tab w:val="left" w:pos="1916"/>
        </w:tabs>
        <w:rPr>
          <w:rFonts w:ascii="Times New Roman" w:hAnsi="Times New Roman" w:cs="Times New Roman"/>
          <w:i/>
          <w:sz w:val="24"/>
          <w:szCs w:val="24"/>
        </w:rPr>
      </w:pPr>
      <w:r w:rsidRPr="003679CD">
        <w:rPr>
          <w:rFonts w:ascii="Times New Roman" w:hAnsi="Times New Roman" w:cs="Times New Roman"/>
          <w:i/>
          <w:sz w:val="24"/>
          <w:szCs w:val="24"/>
          <w:u w:val="single"/>
        </w:rPr>
        <w:t>Lưu ý</w:t>
      </w:r>
      <w:r w:rsidRPr="003679CD">
        <w:rPr>
          <w:rFonts w:ascii="Times New Roman" w:hAnsi="Times New Roman" w:cs="Times New Roman"/>
          <w:i/>
          <w:sz w:val="24"/>
          <w:szCs w:val="24"/>
        </w:rPr>
        <w:t xml:space="preserve">: Sinh viên </w:t>
      </w:r>
      <w:r w:rsidR="00A2439D" w:rsidRPr="003679CD">
        <w:rPr>
          <w:rFonts w:ascii="Times New Roman" w:hAnsi="Times New Roman" w:cs="Times New Roman"/>
          <w:i/>
          <w:sz w:val="24"/>
          <w:szCs w:val="24"/>
        </w:rPr>
        <w:t xml:space="preserve">chỉ ghi nhận bút toán, </w:t>
      </w:r>
      <w:r w:rsidRPr="003679CD">
        <w:rPr>
          <w:rFonts w:ascii="Times New Roman" w:hAnsi="Times New Roman" w:cs="Times New Roman"/>
          <w:i/>
          <w:sz w:val="24"/>
          <w:szCs w:val="24"/>
        </w:rPr>
        <w:t>không cần lập Bảng tính chênh lệch tạm thời</w:t>
      </w:r>
    </w:p>
    <w:p w:rsidR="00836411" w:rsidRPr="003679CD" w:rsidRDefault="00836411" w:rsidP="00836411">
      <w:pPr>
        <w:rPr>
          <w:rFonts w:ascii="Times New Roman" w:hAnsi="Times New Roman" w:cs="Times New Roman"/>
          <w:sz w:val="24"/>
          <w:szCs w:val="24"/>
        </w:rPr>
      </w:pPr>
    </w:p>
    <w:p w:rsidR="00836411" w:rsidRPr="003679CD" w:rsidRDefault="00836411" w:rsidP="00836411">
      <w:pPr>
        <w:rPr>
          <w:rFonts w:ascii="Times New Roman" w:hAnsi="Times New Roman" w:cs="Times New Roman"/>
          <w:sz w:val="24"/>
          <w:szCs w:val="24"/>
        </w:rPr>
      </w:pPr>
    </w:p>
    <w:p w:rsidR="00836411" w:rsidRPr="003679CD" w:rsidRDefault="00836411" w:rsidP="00836411">
      <w:pPr>
        <w:rPr>
          <w:rFonts w:ascii="Times New Roman" w:hAnsi="Times New Roman" w:cs="Times New Roman"/>
          <w:sz w:val="24"/>
          <w:szCs w:val="24"/>
        </w:rPr>
      </w:pPr>
    </w:p>
    <w:p w:rsidR="00B77A41" w:rsidRPr="003679CD" w:rsidRDefault="00836411" w:rsidP="00836411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3679CD">
        <w:rPr>
          <w:rFonts w:ascii="Times New Roman" w:hAnsi="Times New Roman" w:cs="Times New Roman"/>
          <w:sz w:val="24"/>
          <w:szCs w:val="24"/>
        </w:rPr>
        <w:tab/>
      </w:r>
    </w:p>
    <w:sectPr w:rsidR="00B77A41" w:rsidRPr="003679CD" w:rsidSect="00836411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AD" w:rsidRDefault="00C57CAD" w:rsidP="00092FE7">
      <w:pPr>
        <w:spacing w:after="0" w:line="240" w:lineRule="auto"/>
      </w:pPr>
      <w:r>
        <w:separator/>
      </w:r>
    </w:p>
  </w:endnote>
  <w:endnote w:type="continuationSeparator" w:id="0">
    <w:p w:rsidR="00C57CAD" w:rsidRDefault="00C57CAD" w:rsidP="0009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01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D6B" w:rsidRDefault="00140D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3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D6B" w:rsidRDefault="00140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AD" w:rsidRDefault="00C57CAD" w:rsidP="00092FE7">
      <w:pPr>
        <w:spacing w:after="0" w:line="240" w:lineRule="auto"/>
      </w:pPr>
      <w:r>
        <w:separator/>
      </w:r>
    </w:p>
  </w:footnote>
  <w:footnote w:type="continuationSeparator" w:id="0">
    <w:p w:rsidR="00C57CAD" w:rsidRDefault="00C57CAD" w:rsidP="00092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4C7B"/>
    <w:multiLevelType w:val="hybridMultilevel"/>
    <w:tmpl w:val="4C9EE238"/>
    <w:lvl w:ilvl="0" w:tplc="FA565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8BA"/>
    <w:multiLevelType w:val="hybridMultilevel"/>
    <w:tmpl w:val="96442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7C16"/>
    <w:multiLevelType w:val="hybridMultilevel"/>
    <w:tmpl w:val="7682F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26DD"/>
    <w:multiLevelType w:val="hybridMultilevel"/>
    <w:tmpl w:val="6E48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F556D"/>
    <w:multiLevelType w:val="hybridMultilevel"/>
    <w:tmpl w:val="21D68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27"/>
    <w:rsid w:val="00030245"/>
    <w:rsid w:val="000318D1"/>
    <w:rsid w:val="000469FE"/>
    <w:rsid w:val="00046D83"/>
    <w:rsid w:val="000650E9"/>
    <w:rsid w:val="00073432"/>
    <w:rsid w:val="0009271C"/>
    <w:rsid w:val="00092FE7"/>
    <w:rsid w:val="000A1ADD"/>
    <w:rsid w:val="000C32B4"/>
    <w:rsid w:val="000D40F9"/>
    <w:rsid w:val="000E59D3"/>
    <w:rsid w:val="00104B74"/>
    <w:rsid w:val="001228B4"/>
    <w:rsid w:val="00132800"/>
    <w:rsid w:val="00135F4B"/>
    <w:rsid w:val="00140D6B"/>
    <w:rsid w:val="001662DA"/>
    <w:rsid w:val="001667AB"/>
    <w:rsid w:val="00174DF4"/>
    <w:rsid w:val="001764A2"/>
    <w:rsid w:val="00184CD4"/>
    <w:rsid w:val="00194D73"/>
    <w:rsid w:val="001965BC"/>
    <w:rsid w:val="001979DD"/>
    <w:rsid w:val="001C27A5"/>
    <w:rsid w:val="001C7249"/>
    <w:rsid w:val="001D50F5"/>
    <w:rsid w:val="001E21AA"/>
    <w:rsid w:val="001F5774"/>
    <w:rsid w:val="001F75F5"/>
    <w:rsid w:val="00224CBA"/>
    <w:rsid w:val="00257A06"/>
    <w:rsid w:val="00267CC1"/>
    <w:rsid w:val="00276761"/>
    <w:rsid w:val="002779C6"/>
    <w:rsid w:val="002A7BCA"/>
    <w:rsid w:val="002E7E1F"/>
    <w:rsid w:val="002F0065"/>
    <w:rsid w:val="002F3EE5"/>
    <w:rsid w:val="0030703A"/>
    <w:rsid w:val="0031003E"/>
    <w:rsid w:val="00327707"/>
    <w:rsid w:val="003533FB"/>
    <w:rsid w:val="003679CD"/>
    <w:rsid w:val="00386F01"/>
    <w:rsid w:val="003C2F70"/>
    <w:rsid w:val="003D3CEE"/>
    <w:rsid w:val="003D5344"/>
    <w:rsid w:val="003D771E"/>
    <w:rsid w:val="003E2C92"/>
    <w:rsid w:val="003F1453"/>
    <w:rsid w:val="003F6A3A"/>
    <w:rsid w:val="004103C2"/>
    <w:rsid w:val="004407BF"/>
    <w:rsid w:val="004618EC"/>
    <w:rsid w:val="00463071"/>
    <w:rsid w:val="004734EA"/>
    <w:rsid w:val="00486DEA"/>
    <w:rsid w:val="004A2083"/>
    <w:rsid w:val="004A68A5"/>
    <w:rsid w:val="004B1367"/>
    <w:rsid w:val="004C579A"/>
    <w:rsid w:val="004C6168"/>
    <w:rsid w:val="00542E9F"/>
    <w:rsid w:val="00551B2C"/>
    <w:rsid w:val="00554B2E"/>
    <w:rsid w:val="005855B8"/>
    <w:rsid w:val="00587B57"/>
    <w:rsid w:val="0059272A"/>
    <w:rsid w:val="005B1067"/>
    <w:rsid w:val="0060033D"/>
    <w:rsid w:val="00655B34"/>
    <w:rsid w:val="0066478B"/>
    <w:rsid w:val="00683B98"/>
    <w:rsid w:val="00691E1E"/>
    <w:rsid w:val="006A16EA"/>
    <w:rsid w:val="006B60D8"/>
    <w:rsid w:val="006D0A71"/>
    <w:rsid w:val="006E0529"/>
    <w:rsid w:val="006E36E7"/>
    <w:rsid w:val="006E6382"/>
    <w:rsid w:val="00700A20"/>
    <w:rsid w:val="00732E6B"/>
    <w:rsid w:val="00753BC9"/>
    <w:rsid w:val="00761470"/>
    <w:rsid w:val="007808ED"/>
    <w:rsid w:val="00781832"/>
    <w:rsid w:val="00785C4D"/>
    <w:rsid w:val="007B52A7"/>
    <w:rsid w:val="00821693"/>
    <w:rsid w:val="00827E55"/>
    <w:rsid w:val="00836411"/>
    <w:rsid w:val="008378FD"/>
    <w:rsid w:val="008479E1"/>
    <w:rsid w:val="00852121"/>
    <w:rsid w:val="008529FB"/>
    <w:rsid w:val="00863910"/>
    <w:rsid w:val="0087505C"/>
    <w:rsid w:val="008B60FD"/>
    <w:rsid w:val="008E3052"/>
    <w:rsid w:val="008E6691"/>
    <w:rsid w:val="009053AA"/>
    <w:rsid w:val="00910CF6"/>
    <w:rsid w:val="00917413"/>
    <w:rsid w:val="0093038D"/>
    <w:rsid w:val="00956F86"/>
    <w:rsid w:val="00987266"/>
    <w:rsid w:val="00992022"/>
    <w:rsid w:val="00995B18"/>
    <w:rsid w:val="009961C6"/>
    <w:rsid w:val="009A0327"/>
    <w:rsid w:val="009C57D3"/>
    <w:rsid w:val="009C5858"/>
    <w:rsid w:val="009D44D6"/>
    <w:rsid w:val="00A2227E"/>
    <w:rsid w:val="00A2439D"/>
    <w:rsid w:val="00A353D9"/>
    <w:rsid w:val="00A70BB3"/>
    <w:rsid w:val="00A85440"/>
    <w:rsid w:val="00A8790A"/>
    <w:rsid w:val="00AB020B"/>
    <w:rsid w:val="00AB7F65"/>
    <w:rsid w:val="00AE389F"/>
    <w:rsid w:val="00B1589A"/>
    <w:rsid w:val="00B16AAE"/>
    <w:rsid w:val="00B1767E"/>
    <w:rsid w:val="00B6622C"/>
    <w:rsid w:val="00B67479"/>
    <w:rsid w:val="00B77A41"/>
    <w:rsid w:val="00B87BDB"/>
    <w:rsid w:val="00BA4A54"/>
    <w:rsid w:val="00BA4AE6"/>
    <w:rsid w:val="00BA5CE3"/>
    <w:rsid w:val="00BD34DD"/>
    <w:rsid w:val="00C15074"/>
    <w:rsid w:val="00C17816"/>
    <w:rsid w:val="00C2014B"/>
    <w:rsid w:val="00C474DD"/>
    <w:rsid w:val="00C565C6"/>
    <w:rsid w:val="00C57CAD"/>
    <w:rsid w:val="00C97300"/>
    <w:rsid w:val="00CC29B1"/>
    <w:rsid w:val="00CD6E44"/>
    <w:rsid w:val="00D022F5"/>
    <w:rsid w:val="00D2467A"/>
    <w:rsid w:val="00D24BD1"/>
    <w:rsid w:val="00D331F5"/>
    <w:rsid w:val="00D603CA"/>
    <w:rsid w:val="00D76F96"/>
    <w:rsid w:val="00D8774A"/>
    <w:rsid w:val="00DA2BC6"/>
    <w:rsid w:val="00DC50F4"/>
    <w:rsid w:val="00DE2A25"/>
    <w:rsid w:val="00DF371F"/>
    <w:rsid w:val="00E231ED"/>
    <w:rsid w:val="00E32CEF"/>
    <w:rsid w:val="00E53E0F"/>
    <w:rsid w:val="00E555C4"/>
    <w:rsid w:val="00E75143"/>
    <w:rsid w:val="00E95F2B"/>
    <w:rsid w:val="00EA55CE"/>
    <w:rsid w:val="00ED276A"/>
    <w:rsid w:val="00F01061"/>
    <w:rsid w:val="00F24678"/>
    <w:rsid w:val="00F24E38"/>
    <w:rsid w:val="00F44B21"/>
    <w:rsid w:val="00F667AE"/>
    <w:rsid w:val="00F675BF"/>
    <w:rsid w:val="00F75B90"/>
    <w:rsid w:val="00F8283F"/>
    <w:rsid w:val="00FA7C63"/>
    <w:rsid w:val="00FB65D0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D62E87-1567-4246-A651-47C2903C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57D3"/>
    <w:pPr>
      <w:keepNext/>
      <w:spacing w:before="240" w:after="60" w:line="360" w:lineRule="atLeast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7D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E7"/>
  </w:style>
  <w:style w:type="paragraph" w:styleId="Footer">
    <w:name w:val="footer"/>
    <w:basedOn w:val="Normal"/>
    <w:link w:val="FooterChar"/>
    <w:uiPriority w:val="99"/>
    <w:unhideWhenUsed/>
    <w:rsid w:val="00092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E7"/>
  </w:style>
  <w:style w:type="character" w:styleId="Strong">
    <w:name w:val="Strong"/>
    <w:basedOn w:val="DefaultParagraphFont"/>
    <w:qFormat/>
    <w:rsid w:val="00092F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</dc:creator>
  <cp:keywords/>
  <dc:description/>
  <cp:lastModifiedBy>minh</cp:lastModifiedBy>
  <cp:revision>75</cp:revision>
  <cp:lastPrinted>2018-07-07T07:39:00Z</cp:lastPrinted>
  <dcterms:created xsi:type="dcterms:W3CDTF">2018-07-07T04:18:00Z</dcterms:created>
  <dcterms:modified xsi:type="dcterms:W3CDTF">2018-07-15T16:48:00Z</dcterms:modified>
</cp:coreProperties>
</file>